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уведомление-о-передаче-подарков"/>
    <w:p>
      <w:pPr>
        <w:pStyle w:val="Heading3"/>
      </w:pPr>
      <w:r>
        <w:t xml:space="preserve">Уведомление о передаче подарков</w:t>
      </w:r>
    </w:p>
    <w:p>
      <w:pPr>
        <w:pStyle w:val="FirstParagraph"/>
      </w:pPr>
      <w:r>
        <w:t xml:space="preserve">06.11.2014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http://dorogi-uao.mos.ru/anti-corruption/forms-of-documents-related-to-anti-corruption-for-filling/detail/1391743.html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«Автомобильные дороги ЮАО»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i-uao.mos.ru" TargetMode="External" /><Relationship Type="http://schemas.openxmlformats.org/officeDocument/2006/relationships/hyperlink" Id="rId20" Target="http://dorogi-uao.mos.ru/anti-corruption/forms-of-documents-related-to-anti-corruption-for-filling/detail/13917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i-uao.mos.ru" TargetMode="External" /><Relationship Type="http://schemas.openxmlformats.org/officeDocument/2006/relationships/hyperlink" Id="rId20" Target="http://dorogi-uao.mos.ru/anti-corruption/forms-of-documents-related-to-anti-corruption-for-filling/detail/13917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2024-06-19T09:36:44Z</dcterms:created>
  <dcterms:modified xsi:type="dcterms:W3CDTF">2024-06-19T09:36:44Z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