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a5f6f2b3c0fb2cf975dd8ac98125c10e35c0c"/>
    <w:p>
      <w:pPr>
        <w:pStyle w:val="Heading3"/>
      </w:pPr>
      <w:r>
        <w:t xml:space="preserve">• Сведения о доходах и имуществе префекта Челышева А.В. за 2012 год</w:t>
      </w:r>
    </w:p>
    <w:p>
      <w:pPr>
        <w:pStyle w:val="FirstParagraph"/>
      </w:pPr>
      <w:r>
        <w:t xml:space="preserve">06.11.2014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http://dorogi-uao.mos.ru/anti-corruption/information-on-income-expenses-about-property-and-obligations-of-property-character/detail/1391768.html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«Автомобильные дороги ЮАО»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information-on-income-expenses-about-property-and-obligations-of-property-character/detail/13917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information-on-income-expenses-about-property-and-obligations-of-property-character/detail/13917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2024-12-17T14:42:13Z</dcterms:created>
  <dcterms:modified xsi:type="dcterms:W3CDTF">2024-12-17T14:42:13Z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