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89804e71482bc94823baddfa10ea2a010268b"/>
    <w:p>
      <w:pPr>
        <w:pStyle w:val="Heading3"/>
      </w:pPr>
      <w:r>
        <w:t xml:space="preserve">• Сведения о доходах и имуществе сотрудников префектуры ЮАО за 2012 год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http://dorogi-uao.mos.ru/anti-corruption/information-on-income-expenses-about-property-and-obligations-of-property-character/detail/1391778.html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information-on-income-expenses-about-property-and-obligations-of-property-character/detail/13917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information-on-income-expenses-about-property-and-obligations-of-property-character/detail/13917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2024-06-19T09:36:52Z</dcterms:created>
  <dcterms:modified xsi:type="dcterms:W3CDTF">2024-06-19T09:36:52Z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