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e94dd67ab9457b43767da574f233facb40f56"/>
    <w:p>
      <w:pPr>
        <w:pStyle w:val="Heading3"/>
      </w:pPr>
      <w:r>
        <w:t xml:space="preserve">Сведения о доходах и имуществе руководителей государственных учреждений ЮАО города Москвы за 2012 год</w:t>
      </w:r>
    </w:p>
    <w:p>
      <w:pPr>
        <w:pStyle w:val="FirstParagraph"/>
      </w:pPr>
      <w:r>
        <w:t xml:space="preserve">14.11.2014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http://dorogi-uao.mos.ru/anti-corruption/information-on-income-expenses-about-property-and-obligations-of-property-character/detail/1408303.html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information-on-income-expenses-about-property-and-obligations-of-property-character/detail/14083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information-on-income-expenses-about-property-and-obligations-of-property-character/detail/14083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2024-08-26T02:20:22Z</dcterms:created>
  <dcterms:modified xsi:type="dcterms:W3CDTF">2024-08-26T02:20:22Z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