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8403b8bd38bde608b4f390c422cb82f6710da"/>
    <w:p>
      <w:pPr>
        <w:pStyle w:val="Heading3"/>
      </w:pPr>
      <w:r>
        <w:t xml:space="preserve">Разъяснения практики применения статьи 12 Федерального закона от 25.12.2008 № 273-ФЗ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http://dorogi-uao.mos.ru/anti-corruption/methodical-materials/detail/1391707.html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methodical-materials/detail/1391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2024-08-26T02:38:07Z</dcterms:created>
  <dcterms:modified xsi:type="dcterms:W3CDTF">2024-08-26T02:38:07Z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