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db0fca2c81dc7708b3c444f521f6e7e1dcefe"/>
    <w:p>
      <w:pPr>
        <w:pStyle w:val="Heading3"/>
      </w:pPr>
      <w:r>
        <w:t xml:space="preserve">Памятка типовых случаев конфликта интересов на государственной службе и порядка их урегулирования в префектуре Южного административного округа города Москвы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http://dorogi-uao.mos.ru/anti-corruption/the-commission-for-observance-of-requirements-for-the-official-behaviour-of-state-civil-employees-of/detail/1391761.html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the-commission-for-observance-of-requirements-for-the-official-behaviour-of-state-civil-employees-of/detail/1391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the-commission-for-observance-of-requirements-for-the-official-behaviour-of-state-civil-employees-of/detail/1391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2024-12-06T15:40:26Z</dcterms:created>
  <dcterms:modified xsi:type="dcterms:W3CDTF">2024-12-06T15:40:26Z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